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CF" w:rsidRPr="00F234CF" w:rsidRDefault="00F234CF" w:rsidP="00F234CF">
      <w:pPr>
        <w:spacing w:line="480" w:lineRule="auto"/>
        <w:jc w:val="center"/>
        <w:rPr>
          <w:rFonts w:ascii="Times New Roman" w:eastAsia="標楷體" w:hAnsi="Times New Roman" w:cs="Times New Roman"/>
          <w:b/>
          <w:color w:val="auto"/>
        </w:rPr>
      </w:pPr>
      <w:r w:rsidRPr="00F234CF">
        <w:rPr>
          <w:rFonts w:ascii="Times New Roman" w:eastAsia="標楷體" w:hAnsi="Times New Roman" w:cs="Times New Roman"/>
          <w:b/>
          <w:sz w:val="32"/>
          <w:szCs w:val="32"/>
        </w:rPr>
        <w:t>國立臺灣大學學生出國修課學分採計要點</w:t>
      </w:r>
    </w:p>
    <w:p w:rsidR="00F234CF" w:rsidRPr="00C66F87" w:rsidRDefault="00F234CF" w:rsidP="00F234CF">
      <w:pPr>
        <w:spacing w:line="276" w:lineRule="auto"/>
        <w:jc w:val="right"/>
        <w:rPr>
          <w:rFonts w:ascii="Times New Roman" w:eastAsia="標楷體" w:hAnsi="Times New Roman" w:cs="Times New Roman"/>
        </w:rPr>
      </w:pPr>
      <w:r w:rsidRPr="00C66F87">
        <w:rPr>
          <w:rFonts w:ascii="Times New Roman" w:eastAsia="標楷體" w:hAnsi="Times New Roman" w:cs="Times New Roman"/>
        </w:rPr>
        <w:t>102.06.07 101</w:t>
      </w:r>
      <w:r w:rsidRPr="00C66F87">
        <w:rPr>
          <w:rFonts w:ascii="Times New Roman" w:eastAsia="標楷體" w:hAnsi="Times New Roman" w:cs="Times New Roman"/>
        </w:rPr>
        <w:t>學年度第</w:t>
      </w:r>
      <w:r w:rsidRPr="00C66F87">
        <w:rPr>
          <w:rFonts w:ascii="Times New Roman" w:eastAsia="標楷體" w:hAnsi="Times New Roman" w:cs="Times New Roman"/>
        </w:rPr>
        <w:t>2</w:t>
      </w:r>
      <w:r w:rsidRPr="00C66F87">
        <w:rPr>
          <w:rFonts w:ascii="Times New Roman" w:eastAsia="標楷體" w:hAnsi="Times New Roman" w:cs="Times New Roman"/>
        </w:rPr>
        <w:t>學期第</w:t>
      </w:r>
      <w:r w:rsidRPr="00C66F87">
        <w:rPr>
          <w:rFonts w:ascii="Times New Roman" w:eastAsia="標楷體" w:hAnsi="Times New Roman" w:cs="Times New Roman"/>
        </w:rPr>
        <w:t>2</w:t>
      </w:r>
      <w:r w:rsidRPr="00C66F87">
        <w:rPr>
          <w:rFonts w:ascii="Times New Roman" w:eastAsia="標楷體" w:hAnsi="Times New Roman" w:cs="Times New Roman"/>
        </w:rPr>
        <w:t>次教務會議通過</w:t>
      </w:r>
    </w:p>
    <w:p w:rsidR="00F234CF" w:rsidRPr="00C66F87" w:rsidRDefault="00F234CF" w:rsidP="00F234CF">
      <w:pPr>
        <w:spacing w:line="480" w:lineRule="auto"/>
        <w:jc w:val="right"/>
        <w:rPr>
          <w:rFonts w:ascii="Times New Roman" w:eastAsia="標楷體" w:hAnsi="Times New Roman" w:cs="Times New Roman"/>
        </w:rPr>
      </w:pPr>
      <w:r w:rsidRPr="00C66F87">
        <w:rPr>
          <w:rFonts w:ascii="Times New Roman" w:eastAsia="標楷體" w:hAnsi="Times New Roman" w:cs="Times New Roman"/>
        </w:rPr>
        <w:t>108.03</w:t>
      </w:r>
      <w:r w:rsidRPr="00C66F87">
        <w:rPr>
          <w:rFonts w:ascii="Times New Roman" w:eastAsia="標楷體" w:hAnsi="Times New Roman" w:cs="Times New Roman"/>
          <w:lang w:val="en-US"/>
        </w:rPr>
        <w:t>.</w:t>
      </w:r>
      <w:r w:rsidRPr="00C66F87">
        <w:rPr>
          <w:rFonts w:ascii="Times New Roman" w:eastAsia="標楷體" w:hAnsi="Times New Roman" w:cs="Times New Roman"/>
        </w:rPr>
        <w:t>22 107</w:t>
      </w:r>
      <w:r w:rsidRPr="00C66F87">
        <w:rPr>
          <w:rFonts w:ascii="Times New Roman" w:eastAsia="標楷體" w:hAnsi="Times New Roman" w:cs="Times New Roman"/>
        </w:rPr>
        <w:t>學年度第</w:t>
      </w:r>
      <w:r w:rsidRPr="00C66F87">
        <w:rPr>
          <w:rFonts w:ascii="Times New Roman" w:eastAsia="標楷體" w:hAnsi="Times New Roman" w:cs="Times New Roman"/>
        </w:rPr>
        <w:t>2</w:t>
      </w:r>
      <w:r w:rsidRPr="00C66F87">
        <w:rPr>
          <w:rFonts w:ascii="Times New Roman" w:eastAsia="標楷體" w:hAnsi="Times New Roman" w:cs="Times New Roman"/>
        </w:rPr>
        <w:t>學期第</w:t>
      </w:r>
      <w:r w:rsidRPr="00C66F87">
        <w:rPr>
          <w:rFonts w:ascii="Times New Roman" w:eastAsia="標楷體" w:hAnsi="Times New Roman" w:cs="Times New Roman"/>
        </w:rPr>
        <w:t>1</w:t>
      </w:r>
      <w:r w:rsidRPr="00C66F87">
        <w:rPr>
          <w:rFonts w:ascii="Times New Roman" w:eastAsia="標楷體" w:hAnsi="Times New Roman" w:cs="Times New Roman"/>
        </w:rPr>
        <w:t>次教務會議修訂</w:t>
      </w:r>
    </w:p>
    <w:p w:rsidR="00F234CF" w:rsidRPr="00C66F87" w:rsidRDefault="00F234CF" w:rsidP="00F234CF">
      <w:pPr>
        <w:pStyle w:val="a3"/>
        <w:numPr>
          <w:ilvl w:val="0"/>
          <w:numId w:val="1"/>
        </w:numPr>
        <w:spacing w:line="360" w:lineRule="auto"/>
        <w:ind w:leftChars="0"/>
        <w:rPr>
          <w:rFonts w:ascii="Times New Roman" w:eastAsia="標楷體" w:hAnsi="Times New Roman" w:cs="Times New Roman"/>
        </w:rPr>
      </w:pPr>
      <w:r w:rsidRPr="00C66F87">
        <w:rPr>
          <w:rFonts w:ascii="Times New Roman" w:eastAsia="標楷體" w:hAnsi="Times New Roman" w:cs="Times New Roman"/>
        </w:rPr>
        <w:t>本校為辦理學生出國务響分採計事宜，特訂定本要點。</w:t>
      </w:r>
    </w:p>
    <w:p w:rsidR="00F234CF" w:rsidRPr="00C66F87" w:rsidRDefault="00F234CF" w:rsidP="00F234CF">
      <w:pPr>
        <w:pStyle w:val="a3"/>
        <w:numPr>
          <w:ilvl w:val="0"/>
          <w:numId w:val="1"/>
        </w:numPr>
        <w:spacing w:line="360" w:lineRule="auto"/>
        <w:ind w:leftChars="0"/>
        <w:rPr>
          <w:rFonts w:ascii="Times New Roman" w:eastAsia="標楷體" w:hAnsi="Times New Roman" w:cs="Times New Roman"/>
        </w:rPr>
      </w:pPr>
      <w:r w:rsidRPr="00C66F87">
        <w:rPr>
          <w:rFonts w:ascii="Times New Roman" w:eastAsia="標楷體" w:hAnsi="Times New Roman" w:cs="Times New Roman"/>
        </w:rPr>
        <w:t>自</w:t>
      </w:r>
      <w:r w:rsidRPr="00C66F87">
        <w:rPr>
          <w:rFonts w:ascii="Times New Roman" w:eastAsia="標楷體" w:hAnsi="Times New Roman" w:cs="Times New Roman"/>
        </w:rPr>
        <w:t>101</w:t>
      </w:r>
      <w:r w:rsidRPr="00C66F87">
        <w:rPr>
          <w:rFonts w:ascii="Times New Roman" w:eastAsia="標楷體" w:hAnsi="Times New Roman" w:cs="Times New Roman"/>
        </w:rPr>
        <w:t>學年度起，本校學生經核准出國前於自行出國前就讀學系、所、學位學程書面核准者，其出國期間修習及格之科目得申請採計。</w:t>
      </w:r>
    </w:p>
    <w:p w:rsidR="00F234CF" w:rsidRPr="00C66F87" w:rsidRDefault="00F234CF" w:rsidP="00F234CF">
      <w:pPr>
        <w:pStyle w:val="a3"/>
        <w:numPr>
          <w:ilvl w:val="0"/>
          <w:numId w:val="1"/>
        </w:numPr>
        <w:spacing w:line="360" w:lineRule="auto"/>
        <w:ind w:leftChars="0"/>
        <w:rPr>
          <w:rFonts w:ascii="Times New Roman" w:eastAsia="標楷體" w:hAnsi="Times New Roman" w:cs="Times New Roman"/>
        </w:rPr>
      </w:pPr>
      <w:r w:rsidRPr="00C66F87">
        <w:rPr>
          <w:rFonts w:ascii="Times New Roman" w:eastAsia="標楷體" w:hAnsi="Times New Roman" w:cs="Times New Roman"/>
        </w:rPr>
        <w:t>學生應於出國修讀學期結束後返國兩個月內，提出成績證明及相關文件辦理學分採計之申請，修習課程是否採認計入畢業應修學分數及採認學分數多寡，由就讀學系、所、學位學程審核後，送教務處核定，經同意採計者其成績不計入學期</w:t>
      </w:r>
      <w:r w:rsidRPr="00C66F87">
        <w:rPr>
          <w:rFonts w:ascii="Times New Roman" w:eastAsia="標楷體" w:hAnsi="Times New Roman" w:cs="Times New Roman"/>
        </w:rPr>
        <w:t xml:space="preserve"> GPA</w:t>
      </w:r>
      <w:r w:rsidRPr="00C66F87">
        <w:rPr>
          <w:rFonts w:ascii="Times New Roman" w:eastAsia="標楷體" w:hAnsi="Times New Roman" w:cs="Times New Roman"/>
        </w:rPr>
        <w:t>，亦不計入畢業</w:t>
      </w:r>
      <w:r w:rsidRPr="00C66F87">
        <w:rPr>
          <w:rFonts w:ascii="Times New Roman" w:eastAsia="標楷體" w:hAnsi="Times New Roman" w:cs="Times New Roman"/>
        </w:rPr>
        <w:t xml:space="preserve"> GPA</w:t>
      </w:r>
      <w:r w:rsidRPr="00C66F87">
        <w:rPr>
          <w:rFonts w:ascii="Times New Roman" w:eastAsia="標楷體" w:hAnsi="Times New Roman" w:cs="Times New Roman"/>
        </w:rPr>
        <w:t>。應屆畢業生至遲須於次學期上課開始第</w:t>
      </w:r>
      <w:r w:rsidRPr="00C66F87">
        <w:rPr>
          <w:rFonts w:ascii="Times New Roman" w:eastAsia="標楷體" w:hAnsi="Times New Roman" w:cs="Times New Roman"/>
        </w:rPr>
        <w:t xml:space="preserve"> 1 </w:t>
      </w:r>
      <w:r w:rsidRPr="00C66F87">
        <w:rPr>
          <w:rFonts w:ascii="Times New Roman" w:eastAsia="標楷體" w:hAnsi="Times New Roman" w:cs="Times New Roman"/>
        </w:rPr>
        <w:t>週結束前提出申請，並完成學分採計審核作業。</w:t>
      </w:r>
    </w:p>
    <w:p w:rsidR="00F234CF" w:rsidRPr="00C66F87" w:rsidRDefault="00F234CF" w:rsidP="00F234CF">
      <w:pPr>
        <w:pStyle w:val="a3"/>
        <w:numPr>
          <w:ilvl w:val="0"/>
          <w:numId w:val="1"/>
        </w:numPr>
        <w:spacing w:line="360" w:lineRule="auto"/>
        <w:ind w:leftChars="0"/>
        <w:rPr>
          <w:rFonts w:ascii="Times New Roman" w:eastAsia="標楷體" w:hAnsi="Times New Roman" w:cs="Times New Roman"/>
        </w:rPr>
      </w:pPr>
      <w:r w:rsidRPr="00C66F87">
        <w:rPr>
          <w:rFonts w:ascii="Times New Roman" w:eastAsia="標楷體" w:hAnsi="Times New Roman" w:cs="Times New Roman"/>
        </w:rPr>
        <w:t>各科學分之計算，授課滿</w:t>
      </w:r>
      <w:r w:rsidRPr="00C66F87">
        <w:rPr>
          <w:rFonts w:ascii="Times New Roman" w:eastAsia="標楷體" w:hAnsi="Times New Roman" w:cs="Times New Roman"/>
        </w:rPr>
        <w:t xml:space="preserve"> 18 </w:t>
      </w:r>
      <w:r w:rsidRPr="00C66F87">
        <w:rPr>
          <w:rFonts w:ascii="Times New Roman" w:eastAsia="標楷體" w:hAnsi="Times New Roman" w:cs="Times New Roman"/>
        </w:rPr>
        <w:t>小時採計</w:t>
      </w:r>
      <w:r w:rsidRPr="00C66F87">
        <w:rPr>
          <w:rFonts w:ascii="Times New Roman" w:eastAsia="標楷體" w:hAnsi="Times New Roman" w:cs="Times New Roman"/>
        </w:rPr>
        <w:t xml:space="preserve"> 1 </w:t>
      </w:r>
      <w:r w:rsidRPr="00C66F87">
        <w:rPr>
          <w:rFonts w:ascii="Times New Roman" w:eastAsia="標楷體" w:hAnsi="Times New Roman" w:cs="Times New Roman"/>
        </w:rPr>
        <w:t>學分為原則，實習或實驗滿</w:t>
      </w:r>
      <w:r w:rsidRPr="00C66F87">
        <w:rPr>
          <w:rFonts w:ascii="Times New Roman" w:eastAsia="標楷體" w:hAnsi="Times New Roman" w:cs="Times New Roman"/>
        </w:rPr>
        <w:t xml:space="preserve"> 36 </w:t>
      </w:r>
      <w:r w:rsidRPr="00C66F87">
        <w:rPr>
          <w:rFonts w:ascii="Times New Roman" w:eastAsia="標楷體" w:hAnsi="Times New Roman" w:cs="Times New Roman"/>
        </w:rPr>
        <w:t>至</w:t>
      </w:r>
      <w:r w:rsidRPr="00C66F87">
        <w:rPr>
          <w:rFonts w:ascii="Times New Roman" w:eastAsia="標楷體" w:hAnsi="Times New Roman" w:cs="Times New Roman"/>
        </w:rPr>
        <w:t xml:space="preserve"> 54 </w:t>
      </w:r>
      <w:r w:rsidRPr="00C66F87">
        <w:rPr>
          <w:rFonts w:ascii="Times New Roman" w:eastAsia="標楷體" w:hAnsi="Times New Roman" w:cs="Times New Roman"/>
        </w:rPr>
        <w:t>小時採計</w:t>
      </w:r>
      <w:r w:rsidRPr="00C66F87">
        <w:rPr>
          <w:rFonts w:ascii="Times New Roman" w:eastAsia="標楷體" w:hAnsi="Times New Roman" w:cs="Times New Roman"/>
        </w:rPr>
        <w:t xml:space="preserve"> 1 </w:t>
      </w:r>
      <w:r w:rsidRPr="00C66F87">
        <w:rPr>
          <w:rFonts w:ascii="Times New Roman" w:eastAsia="標楷體" w:hAnsi="Times New Roman" w:cs="Times New Roman"/>
        </w:rPr>
        <w:t>學分，學分採計遇有小數部分，得以四捨五入方式計入。</w:t>
      </w:r>
    </w:p>
    <w:p w:rsidR="00F234CF" w:rsidRPr="00C66F87" w:rsidRDefault="00F234CF" w:rsidP="00F234CF">
      <w:pPr>
        <w:pStyle w:val="a3"/>
        <w:numPr>
          <w:ilvl w:val="0"/>
          <w:numId w:val="2"/>
        </w:numPr>
        <w:spacing w:line="276" w:lineRule="auto"/>
        <w:ind w:leftChars="0" w:left="993" w:hanging="567"/>
        <w:rPr>
          <w:rFonts w:ascii="Times New Roman" w:eastAsia="標楷體" w:hAnsi="Times New Roman" w:cs="Times New Roman"/>
        </w:rPr>
      </w:pPr>
      <w:r w:rsidRPr="00C66F87">
        <w:rPr>
          <w:rFonts w:ascii="Times New Roman" w:eastAsia="標楷體" w:hAnsi="Times New Roman" w:cs="Times New Roman"/>
        </w:rPr>
        <w:t>若出國修習之學校係採歐洲學分互認體系（</w:t>
      </w:r>
      <w:r w:rsidRPr="00C66F87">
        <w:rPr>
          <w:rFonts w:ascii="Times New Roman" w:eastAsia="標楷體" w:hAnsi="Times New Roman" w:cs="Times New Roman"/>
        </w:rPr>
        <w:t>European Credit Transfer and Accumulation System, ECTS</w:t>
      </w:r>
      <w:r w:rsidRPr="00C66F87">
        <w:rPr>
          <w:rFonts w:ascii="Times New Roman" w:eastAsia="標楷體" w:hAnsi="Times New Roman" w:cs="Times New Roman"/>
        </w:rPr>
        <w:t>），原則以</w:t>
      </w:r>
      <w:r w:rsidRPr="00C66F87">
        <w:rPr>
          <w:rFonts w:ascii="Times New Roman" w:eastAsia="標楷體" w:hAnsi="Times New Roman" w:cs="Times New Roman"/>
        </w:rPr>
        <w:t xml:space="preserve"> 2 ECTS </w:t>
      </w:r>
      <w:r w:rsidRPr="00C66F87">
        <w:rPr>
          <w:rFonts w:ascii="Times New Roman" w:eastAsia="標楷體" w:hAnsi="Times New Roman" w:cs="Times New Roman"/>
        </w:rPr>
        <w:t>等同</w:t>
      </w:r>
      <w:r w:rsidRPr="00C66F87">
        <w:rPr>
          <w:rFonts w:ascii="Times New Roman" w:eastAsia="標楷體" w:hAnsi="Times New Roman" w:cs="Times New Roman"/>
        </w:rPr>
        <w:t xml:space="preserve"> 1 </w:t>
      </w:r>
      <w:r w:rsidRPr="00C66F87">
        <w:rPr>
          <w:rFonts w:ascii="Times New Roman" w:eastAsia="標楷體" w:hAnsi="Times New Roman" w:cs="Times New Roman"/>
        </w:rPr>
        <w:t>學分。</w:t>
      </w:r>
    </w:p>
    <w:p w:rsidR="00F234CF" w:rsidRPr="00C66F87" w:rsidRDefault="00F234CF" w:rsidP="00F234CF">
      <w:pPr>
        <w:pStyle w:val="a3"/>
        <w:numPr>
          <w:ilvl w:val="0"/>
          <w:numId w:val="2"/>
        </w:numPr>
        <w:spacing w:line="276" w:lineRule="auto"/>
        <w:ind w:leftChars="0" w:left="993" w:hanging="567"/>
        <w:rPr>
          <w:rFonts w:ascii="Times New Roman" w:eastAsia="標楷體" w:hAnsi="Times New Roman" w:cs="Times New Roman"/>
        </w:rPr>
      </w:pPr>
      <w:r w:rsidRPr="00C66F87">
        <w:rPr>
          <w:rFonts w:ascii="Times New Roman" w:eastAsia="標楷體" w:hAnsi="Times New Roman" w:cs="Times New Roman"/>
        </w:rPr>
        <w:t>各學系、所、學位學程得另行參酌課程大綱、上課時數或其他已簽奉核准之規定，確認採計學分數。</w:t>
      </w:r>
    </w:p>
    <w:p w:rsidR="00F234CF" w:rsidRPr="00C66F87" w:rsidRDefault="00F234CF" w:rsidP="00F234CF">
      <w:pPr>
        <w:pStyle w:val="a3"/>
        <w:numPr>
          <w:ilvl w:val="0"/>
          <w:numId w:val="1"/>
        </w:numPr>
        <w:spacing w:line="360" w:lineRule="auto"/>
        <w:ind w:leftChars="0"/>
        <w:rPr>
          <w:rFonts w:ascii="Times New Roman" w:eastAsia="標楷體" w:hAnsi="Times New Roman" w:cs="Times New Roman"/>
        </w:rPr>
      </w:pPr>
      <w:r w:rsidRPr="00C66F87">
        <w:rPr>
          <w:rFonts w:ascii="Times New Roman" w:eastAsia="標楷體" w:hAnsi="Times New Roman" w:cs="Times New Roman"/>
        </w:rPr>
        <w:t>學分採計之審核原則如下：</w:t>
      </w:r>
    </w:p>
    <w:p w:rsidR="00F234CF" w:rsidRPr="00C66F87" w:rsidRDefault="00F234CF" w:rsidP="00F234CF">
      <w:pPr>
        <w:pStyle w:val="a3"/>
        <w:numPr>
          <w:ilvl w:val="0"/>
          <w:numId w:val="4"/>
        </w:numPr>
        <w:spacing w:line="276" w:lineRule="auto"/>
        <w:ind w:leftChars="177" w:left="991" w:hangingChars="236" w:hanging="566"/>
        <w:rPr>
          <w:rFonts w:ascii="Times New Roman" w:eastAsia="標楷體" w:hAnsi="Times New Roman" w:cs="Times New Roman"/>
        </w:rPr>
      </w:pPr>
      <w:r w:rsidRPr="00C66F87">
        <w:rPr>
          <w:rFonts w:ascii="Times New Roman" w:eastAsia="標楷體" w:hAnsi="Times New Roman" w:cs="Times New Roman"/>
        </w:rPr>
        <w:t>出國修習科目及格者，得申請學分採計。各學系、所、學位學程對成績要求若有更嚴格規定者，經週知所屬學生後，從其規定。</w:t>
      </w:r>
    </w:p>
    <w:p w:rsidR="00F234CF" w:rsidRPr="00C66F87" w:rsidRDefault="00F234CF" w:rsidP="00F234CF">
      <w:pPr>
        <w:pStyle w:val="a3"/>
        <w:numPr>
          <w:ilvl w:val="0"/>
          <w:numId w:val="4"/>
        </w:numPr>
        <w:spacing w:line="276" w:lineRule="auto"/>
        <w:ind w:leftChars="177" w:left="991" w:hangingChars="236" w:hanging="566"/>
        <w:rPr>
          <w:rFonts w:ascii="Times New Roman" w:eastAsia="標楷體" w:hAnsi="Times New Roman" w:cs="Times New Roman"/>
        </w:rPr>
      </w:pPr>
      <w:r w:rsidRPr="00C66F87">
        <w:rPr>
          <w:rFonts w:ascii="Times New Roman" w:eastAsia="標楷體" w:hAnsi="Times New Roman" w:cs="Times New Roman"/>
        </w:rPr>
        <w:t>出國务習科目擬採計為本校必修科目者，如學分數高於必修科目學分，以本校學分數登記；如學分數低於必修科目學分，應由就讀學系、所、學位學程指定補修科目以補足學分，若無性質相近科目可補足學分者，不得辦理採計。</w:t>
      </w:r>
    </w:p>
    <w:p w:rsidR="00F234CF" w:rsidRPr="00C66F87" w:rsidRDefault="00F234CF" w:rsidP="00F234CF">
      <w:pPr>
        <w:pStyle w:val="a3"/>
        <w:numPr>
          <w:ilvl w:val="0"/>
          <w:numId w:val="4"/>
        </w:numPr>
        <w:spacing w:line="276" w:lineRule="auto"/>
        <w:ind w:leftChars="177" w:left="991" w:hangingChars="236" w:hanging="566"/>
        <w:rPr>
          <w:rFonts w:ascii="Times New Roman" w:eastAsia="標楷體" w:hAnsi="Times New Roman" w:cs="Times New Roman"/>
        </w:rPr>
      </w:pPr>
      <w:r w:rsidRPr="00C66F87">
        <w:rPr>
          <w:rFonts w:ascii="Times New Roman" w:eastAsia="標楷體" w:hAnsi="Times New Roman" w:cs="Times New Roman"/>
        </w:rPr>
        <w:t>申請採計為通識課程或英（外）文者，應先備妥離大綱、課程進度或閱讀書籍等資料，經共同教育中心或外文（日文）系初審通過後，得申請採計。</w:t>
      </w:r>
    </w:p>
    <w:p w:rsidR="00F234CF" w:rsidRPr="00C66F87" w:rsidRDefault="00F234CF" w:rsidP="00F234CF">
      <w:pPr>
        <w:pStyle w:val="a3"/>
        <w:numPr>
          <w:ilvl w:val="0"/>
          <w:numId w:val="4"/>
        </w:numPr>
        <w:spacing w:line="276" w:lineRule="auto"/>
        <w:ind w:leftChars="177" w:left="991" w:hangingChars="236" w:hanging="566"/>
        <w:rPr>
          <w:rFonts w:ascii="Times New Roman" w:eastAsia="標楷體" w:hAnsi="Times New Roman" w:cs="Times New Roman"/>
        </w:rPr>
      </w:pPr>
      <w:r w:rsidRPr="00C66F87">
        <w:rPr>
          <w:rFonts w:ascii="Times New Roman" w:eastAsia="標楷體" w:hAnsi="Times New Roman" w:cs="Times New Roman"/>
        </w:rPr>
        <w:t>各學系、所、學位學程得因個別科目之情況，認定該科不得採計或調降申請採計之學分數。</w:t>
      </w:r>
    </w:p>
    <w:p w:rsidR="00F234CF" w:rsidRPr="00C66F87" w:rsidRDefault="00F234CF" w:rsidP="00F234CF">
      <w:pPr>
        <w:pStyle w:val="a3"/>
        <w:numPr>
          <w:ilvl w:val="0"/>
          <w:numId w:val="4"/>
        </w:numPr>
        <w:spacing w:line="276" w:lineRule="auto"/>
        <w:ind w:leftChars="177" w:left="991" w:hangingChars="236" w:hanging="566"/>
        <w:rPr>
          <w:rFonts w:ascii="Times New Roman" w:eastAsia="標楷體" w:hAnsi="Times New Roman" w:cs="Times New Roman"/>
        </w:rPr>
      </w:pPr>
      <w:r w:rsidRPr="00C66F87">
        <w:rPr>
          <w:rFonts w:ascii="Times New Roman" w:eastAsia="標楷體" w:hAnsi="Times New Roman" w:cs="Times New Roman"/>
        </w:rPr>
        <w:t>各學系、所、學位學程於必要時，得通知申請者接受甄試，甄試及格之科目，准予採計。</w:t>
      </w:r>
    </w:p>
    <w:p w:rsidR="00F234CF" w:rsidRPr="00C66F87" w:rsidRDefault="00F234CF" w:rsidP="00F234CF">
      <w:pPr>
        <w:pStyle w:val="a3"/>
        <w:numPr>
          <w:ilvl w:val="0"/>
          <w:numId w:val="4"/>
        </w:numPr>
        <w:spacing w:line="276" w:lineRule="auto"/>
        <w:ind w:leftChars="177" w:left="991" w:hangingChars="236" w:hanging="566"/>
        <w:rPr>
          <w:rFonts w:ascii="Times New Roman" w:eastAsia="標楷體" w:hAnsi="Times New Roman" w:cs="Times New Roman"/>
        </w:rPr>
      </w:pPr>
      <w:r w:rsidRPr="00C66F87">
        <w:rPr>
          <w:rFonts w:ascii="Times New Roman" w:eastAsia="標楷體" w:hAnsi="Times New Roman" w:cs="Times New Roman"/>
        </w:rPr>
        <w:t>入學後在本校已修習及格之科目，不得辦理該科目之採計。</w:t>
      </w:r>
    </w:p>
    <w:p w:rsidR="00F234CF" w:rsidRPr="00C66F87" w:rsidRDefault="00F234CF" w:rsidP="00F234CF">
      <w:pPr>
        <w:pStyle w:val="a3"/>
        <w:numPr>
          <w:ilvl w:val="0"/>
          <w:numId w:val="4"/>
        </w:numPr>
        <w:spacing w:line="276" w:lineRule="auto"/>
        <w:ind w:leftChars="177" w:left="991" w:hangingChars="236" w:hanging="566"/>
        <w:rPr>
          <w:rFonts w:ascii="Times New Roman" w:eastAsia="標楷體" w:hAnsi="Times New Roman" w:cs="Times New Roman"/>
        </w:rPr>
      </w:pPr>
      <w:r w:rsidRPr="00C66F87">
        <w:rPr>
          <w:rFonts w:ascii="Times New Roman" w:eastAsia="標楷體" w:hAnsi="Times New Roman" w:cs="Times New Roman"/>
        </w:rPr>
        <w:t>研究生經核准抵免及採認之取學分數，合計至多以就讀學系、所、學位學程規定畢業應修學分數二分之一為限，但專案簽經教務長核准者不在此限。</w:t>
      </w:r>
    </w:p>
    <w:p w:rsidR="00F234CF" w:rsidRPr="00C66F87" w:rsidRDefault="00F234CF" w:rsidP="00F234CF">
      <w:pPr>
        <w:spacing w:line="360" w:lineRule="auto"/>
        <w:rPr>
          <w:rFonts w:ascii="Times New Roman" w:eastAsia="標楷體" w:hAnsi="Times New Roman" w:cs="Times New Roman"/>
        </w:rPr>
      </w:pPr>
      <w:r w:rsidRPr="00C66F87">
        <w:rPr>
          <w:rFonts w:ascii="Times New Roman" w:eastAsia="標楷體" w:hAnsi="Times New Roman" w:cs="Times New Roman"/>
        </w:rPr>
        <w:t>六、學生已畢業或於出國修課期間辦理休學、退學者，在國外所修課程及學分皆不予採計。</w:t>
      </w:r>
    </w:p>
    <w:p w:rsidR="00F234CF" w:rsidRPr="00C66F87" w:rsidRDefault="00F234CF" w:rsidP="00F234CF">
      <w:pPr>
        <w:spacing w:line="360" w:lineRule="auto"/>
        <w:rPr>
          <w:rFonts w:ascii="Times New Roman" w:eastAsia="標楷體" w:hAnsi="Times New Roman" w:cs="Times New Roman"/>
        </w:rPr>
      </w:pPr>
      <w:r w:rsidRPr="00C66F87">
        <w:rPr>
          <w:rFonts w:ascii="Times New Roman" w:eastAsia="標楷體" w:hAnsi="Times New Roman" w:cs="Times New Roman"/>
        </w:rPr>
        <w:t>七、本要點如有未盡事宜，依本校學則及相關規定辦理。</w:t>
      </w:r>
    </w:p>
    <w:p w:rsidR="00F234CF" w:rsidRPr="00C66F87" w:rsidRDefault="00F234CF" w:rsidP="00F234CF">
      <w:pPr>
        <w:spacing w:line="360" w:lineRule="auto"/>
        <w:rPr>
          <w:rFonts w:ascii="Times New Roman" w:eastAsia="標楷體" w:hAnsi="Times New Roman" w:cs="Times New Roman"/>
        </w:rPr>
      </w:pPr>
      <w:r w:rsidRPr="00C66F87">
        <w:rPr>
          <w:rFonts w:ascii="Times New Roman" w:eastAsia="標楷體" w:hAnsi="Times New Roman" w:cs="Times New Roman"/>
        </w:rPr>
        <w:t>八、本要點經教務會議通過後，自發布日施行。</w:t>
      </w:r>
      <w:r w:rsidRPr="00C66F87">
        <w:rPr>
          <w:rFonts w:ascii="Times New Roman" w:eastAsia="標楷體" w:hAnsi="Times New Roman" w:cs="Times New Roman"/>
        </w:rPr>
        <w:br w:type="page"/>
      </w:r>
    </w:p>
    <w:p w:rsidR="00F234CF" w:rsidRPr="00C66F87" w:rsidRDefault="00F234CF" w:rsidP="00F234CF">
      <w:pPr>
        <w:spacing w:line="480" w:lineRule="auto"/>
        <w:jc w:val="center"/>
        <w:rPr>
          <w:rFonts w:ascii="Times New Roman" w:eastAsia="標楷體" w:hAnsi="Times New Roman" w:cs="Times New Roman"/>
          <w:b/>
          <w:sz w:val="32"/>
          <w:szCs w:val="28"/>
          <w:lang w:val="en-US"/>
        </w:rPr>
      </w:pPr>
      <w:r w:rsidRPr="00C66F87">
        <w:rPr>
          <w:rFonts w:ascii="Times New Roman" w:eastAsia="標楷體" w:hAnsi="Times New Roman" w:cs="Times New Roman"/>
          <w:b/>
          <w:sz w:val="32"/>
          <w:szCs w:val="28"/>
          <w:lang w:val="en-US"/>
        </w:rPr>
        <w:lastRenderedPageBreak/>
        <w:t>Guideline for Credit Transfer</w:t>
      </w:r>
    </w:p>
    <w:p w:rsidR="00F234CF" w:rsidRPr="00C66F87" w:rsidRDefault="00F234CF" w:rsidP="00F234CF">
      <w:pPr>
        <w:spacing w:line="480" w:lineRule="auto"/>
        <w:jc w:val="right"/>
        <w:rPr>
          <w:rFonts w:ascii="Times New Roman" w:eastAsia="標楷體" w:hAnsi="Times New Roman" w:cs="Times New Roman"/>
          <w:lang w:val="en-US"/>
        </w:rPr>
      </w:pPr>
      <w:r w:rsidRPr="00C66F87">
        <w:rPr>
          <w:rFonts w:ascii="Times New Roman" w:eastAsia="標楷體" w:hAnsi="Times New Roman" w:cs="Times New Roman"/>
          <w:lang w:val="en-US"/>
        </w:rPr>
        <w:t>this guideline brief transla</w:t>
      </w:r>
      <w:bookmarkStart w:id="0" w:name="_GoBack"/>
      <w:bookmarkEnd w:id="0"/>
      <w:r w:rsidRPr="00C66F87">
        <w:rPr>
          <w:rFonts w:ascii="Times New Roman" w:eastAsia="標楷體" w:hAnsi="Times New Roman" w:cs="Times New Roman"/>
          <w:lang w:val="en-US"/>
        </w:rPr>
        <w:t>te ”</w:t>
      </w:r>
      <w:r w:rsidRPr="00C66F87">
        <w:rPr>
          <w:rFonts w:ascii="Times New Roman" w:eastAsia="標楷體" w:hAnsi="Times New Roman" w:cs="Times New Roman"/>
          <w:lang w:val="en-US"/>
        </w:rPr>
        <w:t>國立臺灣大學學生出國修課學分採計要點</w:t>
      </w:r>
      <w:r w:rsidRPr="00C66F87">
        <w:rPr>
          <w:rFonts w:ascii="Times New Roman" w:eastAsia="標楷體" w:hAnsi="Times New Roman" w:cs="Times New Roman"/>
          <w:lang w:val="en-US"/>
        </w:rPr>
        <w:t>”</w:t>
      </w:r>
    </w:p>
    <w:p w:rsidR="00F234CF" w:rsidRPr="00C66F87" w:rsidRDefault="00F234CF" w:rsidP="00F234CF">
      <w:pPr>
        <w:pStyle w:val="a3"/>
        <w:numPr>
          <w:ilvl w:val="2"/>
          <w:numId w:val="1"/>
        </w:numPr>
        <w:spacing w:line="480" w:lineRule="auto"/>
        <w:ind w:leftChars="0" w:left="567" w:hanging="283"/>
        <w:rPr>
          <w:rFonts w:ascii="Times New Roman" w:eastAsia="標楷體" w:hAnsi="Times New Roman" w:cs="Times New Roman"/>
          <w:lang w:val="en-US"/>
        </w:rPr>
      </w:pPr>
      <w:r w:rsidRPr="00C66F87">
        <w:rPr>
          <w:rFonts w:ascii="Times New Roman" w:eastAsia="標楷體" w:hAnsi="Times New Roman" w:cs="Times New Roman"/>
          <w:lang w:val="en-US"/>
        </w:rPr>
        <w:t xml:space="preserve">Returning exchange students should apply for credit transfers within two months upon return, the approval of credit transfers are to be made by the departments and Office of Academic Affairs. The grades shall not affect student’s GPA. If students would like to apply for graduation application upon return, students shall complete the procedure in the beginning week of the following semester. </w:t>
      </w:r>
    </w:p>
    <w:p w:rsidR="00F234CF" w:rsidRPr="00C66F87" w:rsidRDefault="00F234CF" w:rsidP="00F234CF">
      <w:pPr>
        <w:pStyle w:val="a3"/>
        <w:numPr>
          <w:ilvl w:val="2"/>
          <w:numId w:val="1"/>
        </w:numPr>
        <w:spacing w:line="480" w:lineRule="auto"/>
        <w:ind w:leftChars="0" w:left="567" w:hanging="283"/>
        <w:rPr>
          <w:rFonts w:ascii="Times New Roman" w:eastAsia="標楷體" w:hAnsi="Times New Roman" w:cs="Times New Roman"/>
          <w:lang w:val="en-US"/>
        </w:rPr>
      </w:pPr>
      <w:r w:rsidRPr="00C66F87">
        <w:rPr>
          <w:rFonts w:ascii="Times New Roman" w:eastAsia="標楷體" w:hAnsi="Times New Roman" w:cs="Times New Roman"/>
          <w:lang w:val="en-US"/>
        </w:rPr>
        <w:t xml:space="preserve">Credit Transfer: 1 credit is equivalent to 18 hours of lecture or 36‐54 hours of laboratory/internship. (Number rounding applies) </w:t>
      </w:r>
    </w:p>
    <w:p w:rsidR="00F234CF" w:rsidRPr="00C66F87" w:rsidRDefault="00F234CF" w:rsidP="00F234CF">
      <w:pPr>
        <w:pStyle w:val="a3"/>
        <w:numPr>
          <w:ilvl w:val="0"/>
          <w:numId w:val="3"/>
        </w:numPr>
        <w:spacing w:line="480" w:lineRule="auto"/>
        <w:ind w:leftChars="295" w:left="1133" w:hangingChars="177" w:hanging="425"/>
        <w:rPr>
          <w:rFonts w:ascii="Times New Roman" w:eastAsia="標楷體" w:hAnsi="Times New Roman" w:cs="Times New Roman"/>
          <w:lang w:val="en-US"/>
        </w:rPr>
      </w:pPr>
      <w:r w:rsidRPr="00C66F87">
        <w:rPr>
          <w:rFonts w:ascii="Times New Roman" w:eastAsia="標楷體" w:hAnsi="Times New Roman" w:cs="Times New Roman"/>
          <w:lang w:val="en-US"/>
        </w:rPr>
        <w:t xml:space="preserve">For Europe exchange programs, ECTS (European Credit Transfer and Accumulation System) applies. 2 ECTS are equivalent to 1 credit. </w:t>
      </w:r>
    </w:p>
    <w:p w:rsidR="00F234CF" w:rsidRPr="00C66F87" w:rsidRDefault="00F234CF" w:rsidP="00F234CF">
      <w:pPr>
        <w:pStyle w:val="a3"/>
        <w:numPr>
          <w:ilvl w:val="0"/>
          <w:numId w:val="3"/>
        </w:numPr>
        <w:spacing w:line="480" w:lineRule="auto"/>
        <w:ind w:leftChars="295" w:left="1133" w:hangingChars="177" w:hanging="425"/>
        <w:rPr>
          <w:rFonts w:ascii="Times New Roman" w:eastAsia="標楷體" w:hAnsi="Times New Roman" w:cs="Times New Roman"/>
          <w:lang w:val="en-US"/>
        </w:rPr>
      </w:pPr>
      <w:r w:rsidRPr="00C66F87">
        <w:rPr>
          <w:rFonts w:ascii="Times New Roman" w:eastAsia="標楷體" w:hAnsi="Times New Roman" w:cs="Times New Roman"/>
          <w:lang w:val="en-US"/>
        </w:rPr>
        <w:t xml:space="preserve">Credit transfer regulation may differ from department to department.    </w:t>
      </w:r>
    </w:p>
    <w:p w:rsidR="00F234CF" w:rsidRPr="00C66F87" w:rsidRDefault="00F234CF" w:rsidP="00F234CF">
      <w:pPr>
        <w:pStyle w:val="a3"/>
        <w:numPr>
          <w:ilvl w:val="2"/>
          <w:numId w:val="1"/>
        </w:numPr>
        <w:spacing w:line="480" w:lineRule="auto"/>
        <w:ind w:leftChars="0" w:left="567" w:hanging="283"/>
        <w:rPr>
          <w:rFonts w:ascii="Times New Roman" w:eastAsia="標楷體" w:hAnsi="Times New Roman" w:cs="Times New Roman"/>
          <w:lang w:val="en-US"/>
        </w:rPr>
      </w:pPr>
      <w:r w:rsidRPr="00C66F87">
        <w:rPr>
          <w:rFonts w:ascii="Times New Roman" w:eastAsia="標楷體" w:hAnsi="Times New Roman" w:cs="Times New Roman"/>
          <w:lang w:val="en-US"/>
        </w:rPr>
        <w:t xml:space="preserve">NTU colleges or departments reserve the right of final decision of credit transfer. </w:t>
      </w:r>
    </w:p>
    <w:p w:rsidR="00F234CF" w:rsidRPr="00C66F87" w:rsidRDefault="00F234CF" w:rsidP="00F234CF">
      <w:pPr>
        <w:pStyle w:val="a3"/>
        <w:numPr>
          <w:ilvl w:val="2"/>
          <w:numId w:val="1"/>
        </w:numPr>
        <w:spacing w:line="480" w:lineRule="auto"/>
        <w:ind w:leftChars="0" w:left="567" w:hanging="283"/>
        <w:rPr>
          <w:rFonts w:ascii="Times New Roman" w:eastAsia="標楷體" w:hAnsi="Times New Roman" w:cs="Times New Roman"/>
          <w:lang w:val="en-US"/>
        </w:rPr>
      </w:pPr>
      <w:r w:rsidRPr="00C66F87">
        <w:rPr>
          <w:rFonts w:ascii="Times New Roman" w:eastAsia="標楷體" w:hAnsi="Times New Roman" w:cs="Times New Roman"/>
          <w:lang w:val="en-US"/>
        </w:rPr>
        <w:t xml:space="preserve">No credit transfer for the course that has been taken at NTU. </w:t>
      </w:r>
    </w:p>
    <w:p w:rsidR="00F234CF" w:rsidRPr="00C66F87" w:rsidRDefault="00F234CF" w:rsidP="00F234CF">
      <w:pPr>
        <w:pStyle w:val="a3"/>
        <w:numPr>
          <w:ilvl w:val="2"/>
          <w:numId w:val="1"/>
        </w:numPr>
        <w:spacing w:line="480" w:lineRule="auto"/>
        <w:ind w:leftChars="0" w:left="567" w:hanging="283"/>
        <w:rPr>
          <w:rFonts w:ascii="Times New Roman" w:eastAsia="標楷體" w:hAnsi="Times New Roman" w:cs="Times New Roman"/>
          <w:lang w:val="en-US"/>
        </w:rPr>
      </w:pPr>
      <w:r w:rsidRPr="00C66F87">
        <w:rPr>
          <w:rFonts w:ascii="Times New Roman" w:eastAsia="標楷體" w:hAnsi="Times New Roman" w:cs="Times New Roman"/>
          <w:lang w:val="en-US"/>
        </w:rPr>
        <w:t>For graduate students, the passing grade is B‐ or 70%. Students</w:t>
      </w:r>
      <w:r>
        <w:rPr>
          <w:rFonts w:ascii="Times New Roman" w:eastAsia="標楷體" w:hAnsi="Times New Roman" w:cs="Times New Roman"/>
          <w:lang w:val="en-US"/>
        </w:rPr>
        <w:t xml:space="preserve"> </w:t>
      </w:r>
      <w:r w:rsidRPr="00C66F87">
        <w:rPr>
          <w:rFonts w:ascii="Times New Roman" w:eastAsia="標楷體" w:hAnsi="Times New Roman" w:cs="Times New Roman"/>
          <w:lang w:val="en-US"/>
        </w:rPr>
        <w:t>should adhere to accordingly should other NTU departments have more stringent criteria.</w:t>
      </w:r>
    </w:p>
    <w:p w:rsidR="00F234CF" w:rsidRPr="00C66F87" w:rsidRDefault="00F234CF" w:rsidP="00F234CF">
      <w:pPr>
        <w:pStyle w:val="a3"/>
        <w:numPr>
          <w:ilvl w:val="2"/>
          <w:numId w:val="1"/>
        </w:numPr>
        <w:spacing w:line="480" w:lineRule="auto"/>
        <w:ind w:leftChars="0" w:left="567" w:hanging="283"/>
        <w:rPr>
          <w:rFonts w:ascii="Times New Roman" w:eastAsia="標楷體" w:hAnsi="Times New Roman" w:cs="Times New Roman"/>
          <w:lang w:val="en-US"/>
        </w:rPr>
      </w:pPr>
      <w:r w:rsidRPr="00C66F87">
        <w:rPr>
          <w:rFonts w:ascii="Times New Roman" w:eastAsia="標楷體" w:hAnsi="Times New Roman" w:cs="Times New Roman"/>
          <w:lang w:val="en-US"/>
        </w:rPr>
        <w:t xml:space="preserve">For Credit transfer, in the event the exchange school’s credits are greater than NTU’s, NTU credits are registered; In the event exchange school’s credits are lower than NTU’s, additional lecture hours are required to make up credits. Application for credit transfer is not be accepted when there is no comparable lecture hours available at NTU. </w:t>
      </w:r>
    </w:p>
    <w:p w:rsidR="00F234CF" w:rsidRPr="00C66F87" w:rsidRDefault="00F234CF" w:rsidP="00F234CF">
      <w:pPr>
        <w:pStyle w:val="a3"/>
        <w:numPr>
          <w:ilvl w:val="2"/>
          <w:numId w:val="1"/>
        </w:numPr>
        <w:spacing w:line="480" w:lineRule="auto"/>
        <w:ind w:leftChars="0" w:left="567" w:hanging="283"/>
        <w:rPr>
          <w:rFonts w:ascii="Times New Roman" w:eastAsia="標楷體" w:hAnsi="Times New Roman" w:cs="Times New Roman"/>
          <w:lang w:val="en-US"/>
        </w:rPr>
      </w:pPr>
      <w:r w:rsidRPr="00C66F87">
        <w:rPr>
          <w:rFonts w:ascii="Times New Roman" w:eastAsia="標楷體" w:hAnsi="Times New Roman" w:cs="Times New Roman"/>
          <w:lang w:val="en-US"/>
        </w:rPr>
        <w:t>Students should apply for credit transfer within the application period according to the NTU academic calendar, with the exception of upcoming graduates.</w:t>
      </w:r>
    </w:p>
    <w:p w:rsidR="00F234CF" w:rsidRPr="00C66F87" w:rsidRDefault="00F234CF" w:rsidP="00F234CF">
      <w:pPr>
        <w:pStyle w:val="a3"/>
        <w:numPr>
          <w:ilvl w:val="2"/>
          <w:numId w:val="1"/>
        </w:numPr>
        <w:spacing w:line="480" w:lineRule="auto"/>
        <w:ind w:leftChars="0" w:left="567" w:hanging="283"/>
        <w:rPr>
          <w:rFonts w:ascii="Times New Roman" w:eastAsia="標楷體" w:hAnsi="Times New Roman" w:cs="Times New Roman"/>
          <w:lang w:val="en-US"/>
        </w:rPr>
      </w:pPr>
      <w:r w:rsidRPr="00C66F87">
        <w:rPr>
          <w:rFonts w:ascii="Times New Roman" w:eastAsia="標楷體" w:hAnsi="Times New Roman" w:cs="Times New Roman"/>
          <w:lang w:val="en-US"/>
        </w:rPr>
        <w:t>For graduate students, transferred credits shall not exceed 50% of total credits.</w:t>
      </w:r>
    </w:p>
    <w:p w:rsidR="00D62470" w:rsidRPr="00F234CF" w:rsidRDefault="00D62470">
      <w:pPr>
        <w:rPr>
          <w:lang w:val="en-US"/>
        </w:rPr>
      </w:pPr>
    </w:p>
    <w:sectPr w:rsidR="00D62470" w:rsidRPr="00F234CF">
      <w:footerReference w:type="even" r:id="rId5"/>
      <w:footerReference w:type="default" r:id="rId6"/>
      <w:pgSz w:w="11900" w:h="16840"/>
      <w:pgMar w:top="601" w:right="812" w:bottom="601" w:left="83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3110269"/>
      <w:docPartObj>
        <w:docPartGallery w:val="Page Numbers (Bottom of Page)"/>
        <w:docPartUnique/>
      </w:docPartObj>
    </w:sdtPr>
    <w:sdtEndPr>
      <w:rPr>
        <w:rStyle w:val="a6"/>
      </w:rPr>
    </w:sdtEndPr>
    <w:sdtContent>
      <w:p w:rsidR="0003342C" w:rsidRDefault="00F234CF" w:rsidP="008C76A0">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03342C" w:rsidRDefault="00F234C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316603978"/>
      <w:docPartObj>
        <w:docPartGallery w:val="Page Numbers (Bottom of Page)"/>
        <w:docPartUnique/>
      </w:docPartObj>
    </w:sdtPr>
    <w:sdtEndPr>
      <w:rPr>
        <w:rStyle w:val="a6"/>
      </w:rPr>
    </w:sdtEndPr>
    <w:sdtContent>
      <w:p w:rsidR="0003342C" w:rsidRDefault="00F234CF" w:rsidP="008C76A0">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rsidR="0003342C" w:rsidRDefault="00F234CF">
    <w:pPr>
      <w:pStyle w:val="a4"/>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42D73"/>
    <w:multiLevelType w:val="hybridMultilevel"/>
    <w:tmpl w:val="843ED8EE"/>
    <w:lvl w:ilvl="0" w:tplc="04090015">
      <w:start w:val="1"/>
      <w:numFmt w:val="taiwaneseCountingThousand"/>
      <w:lvlText w:val="%1、"/>
      <w:lvlJc w:val="left"/>
      <w:pPr>
        <w:ind w:left="480" w:hanging="480"/>
      </w:pPr>
    </w:lvl>
    <w:lvl w:ilvl="1" w:tplc="67405FAA">
      <w:start w:val="1"/>
      <w:numFmt w:val="decimal"/>
      <w:lvlText w:val="(%2)"/>
      <w:lvlJc w:val="left"/>
      <w:pPr>
        <w:ind w:left="940" w:hanging="460"/>
      </w:pPr>
      <w:rPr>
        <w:rFonts w:hint="default"/>
      </w:rPr>
    </w:lvl>
    <w:lvl w:ilvl="2" w:tplc="C6DC651C">
      <w:start w:val="1"/>
      <w:numFmt w:val="decimal"/>
      <w:lvlText w:val="%3."/>
      <w:lvlJc w:val="left"/>
      <w:pPr>
        <w:ind w:left="1200" w:hanging="24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F90148"/>
    <w:multiLevelType w:val="hybridMultilevel"/>
    <w:tmpl w:val="9370AAD6"/>
    <w:lvl w:ilvl="0" w:tplc="D08878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23B372F"/>
    <w:multiLevelType w:val="hybridMultilevel"/>
    <w:tmpl w:val="64929224"/>
    <w:lvl w:ilvl="0" w:tplc="261EAF88">
      <w:start w:val="1"/>
      <w:numFmt w:val="taiwaneseCountingThousand"/>
      <w:lvlText w:val="(%1）"/>
      <w:lvlJc w:val="left"/>
      <w:pPr>
        <w:ind w:left="1100" w:hanging="6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C4A6865"/>
    <w:multiLevelType w:val="hybridMultilevel"/>
    <w:tmpl w:val="64929224"/>
    <w:lvl w:ilvl="0" w:tplc="261EAF88">
      <w:start w:val="1"/>
      <w:numFmt w:val="taiwaneseCountingThousand"/>
      <w:lvlText w:val="(%1）"/>
      <w:lvlJc w:val="left"/>
      <w:pPr>
        <w:ind w:left="1100" w:hanging="6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CF"/>
    <w:rsid w:val="00D62470"/>
    <w:rsid w:val="00F23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4173"/>
  <w15:chartTrackingRefBased/>
  <w15:docId w15:val="{FDC95FE5-012D-4E9E-8FCF-53D45242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4CF"/>
    <w:pPr>
      <w:widowControl w:val="0"/>
    </w:pPr>
    <w:rPr>
      <w:rFonts w:ascii="Courier New" w:eastAsia="Courier New" w:hAnsi="Courier New" w:cs="Courier New"/>
      <w:color w:val="000000"/>
      <w:kern w:val="0"/>
      <w:szCs w:val="24"/>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4CF"/>
    <w:pPr>
      <w:ind w:leftChars="200" w:left="480"/>
    </w:pPr>
  </w:style>
  <w:style w:type="paragraph" w:styleId="a4">
    <w:name w:val="footer"/>
    <w:basedOn w:val="a"/>
    <w:link w:val="a5"/>
    <w:uiPriority w:val="99"/>
    <w:unhideWhenUsed/>
    <w:rsid w:val="00F234CF"/>
    <w:pPr>
      <w:tabs>
        <w:tab w:val="center" w:pos="4153"/>
        <w:tab w:val="right" w:pos="8306"/>
      </w:tabs>
      <w:snapToGrid w:val="0"/>
    </w:pPr>
    <w:rPr>
      <w:sz w:val="20"/>
      <w:szCs w:val="20"/>
    </w:rPr>
  </w:style>
  <w:style w:type="character" w:customStyle="1" w:styleId="a5">
    <w:name w:val="頁尾 字元"/>
    <w:basedOn w:val="a0"/>
    <w:link w:val="a4"/>
    <w:uiPriority w:val="99"/>
    <w:rsid w:val="00F234CF"/>
    <w:rPr>
      <w:rFonts w:ascii="Courier New" w:eastAsia="Courier New" w:hAnsi="Courier New" w:cs="Courier New"/>
      <w:color w:val="000000"/>
      <w:kern w:val="0"/>
      <w:sz w:val="20"/>
      <w:szCs w:val="20"/>
      <w:lang w:val="zh-TW" w:bidi="zh-TW"/>
    </w:rPr>
  </w:style>
  <w:style w:type="character" w:styleId="a6">
    <w:name w:val="page number"/>
    <w:basedOn w:val="a0"/>
    <w:uiPriority w:val="99"/>
    <w:semiHidden/>
    <w:unhideWhenUsed/>
    <w:rsid w:val="00F23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2332</Characters>
  <Application>Microsoft Office Word</Application>
  <DocSecurity>0</DocSecurity>
  <Lines>19</Lines>
  <Paragraphs>5</Paragraphs>
  <ScaleCrop>false</ScaleCrop>
  <Company>Microsoft</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陳美鈴</dc:creator>
  <cp:keywords/>
  <dc:description/>
  <cp:lastModifiedBy>陳美鈴</cp:lastModifiedBy>
  <cp:revision>1</cp:revision>
  <cp:lastPrinted>2020-09-29T08:27:00Z</cp:lastPrinted>
  <dcterms:created xsi:type="dcterms:W3CDTF">2020-09-29T08:26:00Z</dcterms:created>
  <dcterms:modified xsi:type="dcterms:W3CDTF">2020-09-29T08:28:00Z</dcterms:modified>
</cp:coreProperties>
</file>