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CF" w:rsidRPr="00F234CF" w:rsidRDefault="00F234CF" w:rsidP="00F234CF">
      <w:pPr>
        <w:spacing w:line="480" w:lineRule="auto"/>
        <w:jc w:val="center"/>
        <w:rPr>
          <w:rFonts w:ascii="Times New Roman" w:eastAsia="標楷體" w:hAnsi="Times New Roman" w:cs="Times New Roman"/>
          <w:b/>
          <w:color w:val="auto"/>
        </w:rPr>
      </w:pPr>
      <w:r w:rsidRPr="00F234CF">
        <w:rPr>
          <w:rFonts w:ascii="Times New Roman" w:eastAsia="標楷體" w:hAnsi="Times New Roman" w:cs="Times New Roman"/>
          <w:b/>
          <w:sz w:val="32"/>
          <w:szCs w:val="32"/>
        </w:rPr>
        <w:t>國立臺灣大學學生出國修課學分採計要點</w:t>
      </w:r>
    </w:p>
    <w:p w:rsidR="00F234CF" w:rsidRPr="00C66F87" w:rsidRDefault="00F234CF" w:rsidP="00F234CF">
      <w:pPr>
        <w:spacing w:line="276" w:lineRule="auto"/>
        <w:jc w:val="right"/>
        <w:rPr>
          <w:rFonts w:ascii="Times New Roman" w:eastAsia="標楷體" w:hAnsi="Times New Roman" w:cs="Times New Roman"/>
        </w:rPr>
      </w:pPr>
      <w:r w:rsidRPr="00C66F87">
        <w:rPr>
          <w:rFonts w:ascii="Times New Roman" w:eastAsia="標楷體" w:hAnsi="Times New Roman" w:cs="Times New Roman"/>
        </w:rPr>
        <w:t>102.06.07 101</w:t>
      </w:r>
      <w:r w:rsidRPr="00C66F87">
        <w:rPr>
          <w:rFonts w:ascii="Times New Roman" w:eastAsia="標楷體" w:hAnsi="Times New Roman" w:cs="Times New Roman"/>
        </w:rPr>
        <w:t>學年度第</w:t>
      </w:r>
      <w:r w:rsidRPr="00C66F87">
        <w:rPr>
          <w:rFonts w:ascii="Times New Roman" w:eastAsia="標楷體" w:hAnsi="Times New Roman" w:cs="Times New Roman"/>
        </w:rPr>
        <w:t>2</w:t>
      </w:r>
      <w:r w:rsidRPr="00C66F87">
        <w:rPr>
          <w:rFonts w:ascii="Times New Roman" w:eastAsia="標楷體" w:hAnsi="Times New Roman" w:cs="Times New Roman"/>
        </w:rPr>
        <w:t>學期第</w:t>
      </w:r>
      <w:r w:rsidRPr="00C66F87">
        <w:rPr>
          <w:rFonts w:ascii="Times New Roman" w:eastAsia="標楷體" w:hAnsi="Times New Roman" w:cs="Times New Roman"/>
        </w:rPr>
        <w:t>2</w:t>
      </w:r>
      <w:r w:rsidRPr="00C66F87">
        <w:rPr>
          <w:rFonts w:ascii="Times New Roman" w:eastAsia="標楷體" w:hAnsi="Times New Roman" w:cs="Times New Roman"/>
        </w:rPr>
        <w:t>次教務會議通過</w:t>
      </w:r>
    </w:p>
    <w:p w:rsidR="00F234CF" w:rsidRPr="00C66F87" w:rsidRDefault="00F234CF" w:rsidP="00F234CF">
      <w:pPr>
        <w:spacing w:line="480" w:lineRule="auto"/>
        <w:jc w:val="right"/>
        <w:rPr>
          <w:rFonts w:ascii="Times New Roman" w:eastAsia="標楷體" w:hAnsi="Times New Roman" w:cs="Times New Roman"/>
        </w:rPr>
      </w:pPr>
      <w:r w:rsidRPr="00C66F87">
        <w:rPr>
          <w:rFonts w:ascii="Times New Roman" w:eastAsia="標楷體" w:hAnsi="Times New Roman" w:cs="Times New Roman"/>
        </w:rPr>
        <w:t>108.03</w:t>
      </w:r>
      <w:r w:rsidRPr="00C66F87">
        <w:rPr>
          <w:rFonts w:ascii="Times New Roman" w:eastAsia="標楷體" w:hAnsi="Times New Roman" w:cs="Times New Roman"/>
          <w:lang w:val="en-US"/>
        </w:rPr>
        <w:t>.</w:t>
      </w:r>
      <w:r w:rsidRPr="00C66F87">
        <w:rPr>
          <w:rFonts w:ascii="Times New Roman" w:eastAsia="標楷體" w:hAnsi="Times New Roman" w:cs="Times New Roman"/>
        </w:rPr>
        <w:t>22 107</w:t>
      </w:r>
      <w:r w:rsidRPr="00C66F87">
        <w:rPr>
          <w:rFonts w:ascii="Times New Roman" w:eastAsia="標楷體" w:hAnsi="Times New Roman" w:cs="Times New Roman"/>
        </w:rPr>
        <w:t>學年度第</w:t>
      </w:r>
      <w:r w:rsidRPr="00C66F87">
        <w:rPr>
          <w:rFonts w:ascii="Times New Roman" w:eastAsia="標楷體" w:hAnsi="Times New Roman" w:cs="Times New Roman"/>
        </w:rPr>
        <w:t>2</w:t>
      </w:r>
      <w:r w:rsidRPr="00C66F87">
        <w:rPr>
          <w:rFonts w:ascii="Times New Roman" w:eastAsia="標楷體" w:hAnsi="Times New Roman" w:cs="Times New Roman"/>
        </w:rPr>
        <w:t>學期第</w:t>
      </w:r>
      <w:r w:rsidRPr="00C66F87">
        <w:rPr>
          <w:rFonts w:ascii="Times New Roman" w:eastAsia="標楷體" w:hAnsi="Times New Roman" w:cs="Times New Roman"/>
        </w:rPr>
        <w:t>1</w:t>
      </w:r>
      <w:r w:rsidRPr="00C66F87">
        <w:rPr>
          <w:rFonts w:ascii="Times New Roman" w:eastAsia="標楷體" w:hAnsi="Times New Roman" w:cs="Times New Roman"/>
        </w:rPr>
        <w:t>次教務會議修訂</w:t>
      </w:r>
    </w:p>
    <w:p w:rsidR="00F234CF" w:rsidRPr="00C66F87" w:rsidRDefault="00F234CF" w:rsidP="00F234CF">
      <w:pPr>
        <w:pStyle w:val="a3"/>
        <w:numPr>
          <w:ilvl w:val="0"/>
          <w:numId w:val="1"/>
        </w:numPr>
        <w:spacing w:line="360" w:lineRule="auto"/>
        <w:ind w:leftChars="0"/>
        <w:rPr>
          <w:rFonts w:ascii="Times New Roman" w:eastAsia="標楷體" w:hAnsi="Times New Roman" w:cs="Times New Roman"/>
        </w:rPr>
      </w:pPr>
      <w:r w:rsidRPr="00C66F87">
        <w:rPr>
          <w:rFonts w:ascii="Times New Roman" w:eastAsia="標楷體" w:hAnsi="Times New Roman" w:cs="Times New Roman"/>
        </w:rPr>
        <w:t>本校為辦理學生出國务響分採計事宜，特訂定本要點。</w:t>
      </w:r>
    </w:p>
    <w:p w:rsidR="00F234CF" w:rsidRPr="00C66F87" w:rsidRDefault="00F234CF" w:rsidP="00F234CF">
      <w:pPr>
        <w:pStyle w:val="a3"/>
        <w:numPr>
          <w:ilvl w:val="0"/>
          <w:numId w:val="1"/>
        </w:numPr>
        <w:spacing w:line="360" w:lineRule="auto"/>
        <w:ind w:leftChars="0"/>
        <w:rPr>
          <w:rFonts w:ascii="Times New Roman" w:eastAsia="標楷體" w:hAnsi="Times New Roman" w:cs="Times New Roman"/>
        </w:rPr>
      </w:pPr>
      <w:r w:rsidRPr="00C66F87">
        <w:rPr>
          <w:rFonts w:ascii="Times New Roman" w:eastAsia="標楷體" w:hAnsi="Times New Roman" w:cs="Times New Roman"/>
        </w:rPr>
        <w:t>自</w:t>
      </w:r>
      <w:r w:rsidRPr="00C66F87">
        <w:rPr>
          <w:rFonts w:ascii="Times New Roman" w:eastAsia="標楷體" w:hAnsi="Times New Roman" w:cs="Times New Roman"/>
        </w:rPr>
        <w:t>101</w:t>
      </w:r>
      <w:r w:rsidRPr="00C66F87">
        <w:rPr>
          <w:rFonts w:ascii="Times New Roman" w:eastAsia="標楷體" w:hAnsi="Times New Roman" w:cs="Times New Roman"/>
        </w:rPr>
        <w:t>學年度起，本校學生經核准出國前於自行出國前就讀學系、所、學位學程書面核准者，其出國期間修習及格之科目得申請採計。</w:t>
      </w:r>
    </w:p>
    <w:p w:rsidR="00F234CF" w:rsidRPr="00C66F87" w:rsidRDefault="00F234CF" w:rsidP="00F234CF">
      <w:pPr>
        <w:pStyle w:val="a3"/>
        <w:numPr>
          <w:ilvl w:val="0"/>
          <w:numId w:val="1"/>
        </w:numPr>
        <w:spacing w:line="360" w:lineRule="auto"/>
        <w:ind w:leftChars="0"/>
        <w:rPr>
          <w:rFonts w:ascii="Times New Roman" w:eastAsia="標楷體" w:hAnsi="Times New Roman" w:cs="Times New Roman"/>
        </w:rPr>
      </w:pPr>
      <w:r w:rsidRPr="00C66F87">
        <w:rPr>
          <w:rFonts w:ascii="Times New Roman" w:eastAsia="標楷體" w:hAnsi="Times New Roman" w:cs="Times New Roman"/>
        </w:rPr>
        <w:t>學生應於出國修讀學期結束後返國兩個月內，提出成績證明及相關文件辦理學分採計之申請，修習課程是否採認計入畢業應修學分數及採認學分數多寡，由就讀學系、所、學位學程審核後，送教務處核定，經同意採計者其成績不計入學期</w:t>
      </w:r>
      <w:r w:rsidRPr="00C66F87">
        <w:rPr>
          <w:rFonts w:ascii="Times New Roman" w:eastAsia="標楷體" w:hAnsi="Times New Roman" w:cs="Times New Roman"/>
        </w:rPr>
        <w:t xml:space="preserve"> GPA</w:t>
      </w:r>
      <w:r w:rsidRPr="00C66F87">
        <w:rPr>
          <w:rFonts w:ascii="Times New Roman" w:eastAsia="標楷體" w:hAnsi="Times New Roman" w:cs="Times New Roman"/>
        </w:rPr>
        <w:t>，亦不計入畢業</w:t>
      </w:r>
      <w:r w:rsidRPr="00C66F87">
        <w:rPr>
          <w:rFonts w:ascii="Times New Roman" w:eastAsia="標楷體" w:hAnsi="Times New Roman" w:cs="Times New Roman"/>
        </w:rPr>
        <w:t xml:space="preserve"> GPA</w:t>
      </w:r>
      <w:r w:rsidRPr="00C66F87">
        <w:rPr>
          <w:rFonts w:ascii="Times New Roman" w:eastAsia="標楷體" w:hAnsi="Times New Roman" w:cs="Times New Roman"/>
        </w:rPr>
        <w:t>。應屆畢業生至遲須於次學期上課開始第</w:t>
      </w:r>
      <w:r w:rsidRPr="00C66F87">
        <w:rPr>
          <w:rFonts w:ascii="Times New Roman" w:eastAsia="標楷體" w:hAnsi="Times New Roman" w:cs="Times New Roman"/>
        </w:rPr>
        <w:t xml:space="preserve"> 1 </w:t>
      </w:r>
      <w:r w:rsidRPr="00C66F87">
        <w:rPr>
          <w:rFonts w:ascii="Times New Roman" w:eastAsia="標楷體" w:hAnsi="Times New Roman" w:cs="Times New Roman"/>
        </w:rPr>
        <w:t>週結束前提出申請，並完成學分採計審核作業。</w:t>
      </w:r>
    </w:p>
    <w:p w:rsidR="00F234CF" w:rsidRPr="00C66F87" w:rsidRDefault="00F234CF" w:rsidP="00F234CF">
      <w:pPr>
        <w:pStyle w:val="a3"/>
        <w:numPr>
          <w:ilvl w:val="0"/>
          <w:numId w:val="1"/>
        </w:numPr>
        <w:spacing w:line="360" w:lineRule="auto"/>
        <w:ind w:leftChars="0"/>
        <w:rPr>
          <w:rFonts w:ascii="Times New Roman" w:eastAsia="標楷體" w:hAnsi="Times New Roman" w:cs="Times New Roman"/>
        </w:rPr>
      </w:pPr>
      <w:r w:rsidRPr="00C66F87">
        <w:rPr>
          <w:rFonts w:ascii="Times New Roman" w:eastAsia="標楷體" w:hAnsi="Times New Roman" w:cs="Times New Roman"/>
        </w:rPr>
        <w:t>各科學分之計算，授課滿</w:t>
      </w:r>
      <w:r w:rsidRPr="00C66F87">
        <w:rPr>
          <w:rFonts w:ascii="Times New Roman" w:eastAsia="標楷體" w:hAnsi="Times New Roman" w:cs="Times New Roman"/>
        </w:rPr>
        <w:t xml:space="preserve"> 18 </w:t>
      </w:r>
      <w:r w:rsidRPr="00C66F87">
        <w:rPr>
          <w:rFonts w:ascii="Times New Roman" w:eastAsia="標楷體" w:hAnsi="Times New Roman" w:cs="Times New Roman"/>
        </w:rPr>
        <w:t>小時採計</w:t>
      </w:r>
      <w:r w:rsidRPr="00C66F87">
        <w:rPr>
          <w:rFonts w:ascii="Times New Roman" w:eastAsia="標楷體" w:hAnsi="Times New Roman" w:cs="Times New Roman"/>
        </w:rPr>
        <w:t xml:space="preserve"> 1 </w:t>
      </w:r>
      <w:r w:rsidRPr="00C66F87">
        <w:rPr>
          <w:rFonts w:ascii="Times New Roman" w:eastAsia="標楷體" w:hAnsi="Times New Roman" w:cs="Times New Roman"/>
        </w:rPr>
        <w:t>學分為原則，實習或實驗滿</w:t>
      </w:r>
      <w:r w:rsidRPr="00C66F87">
        <w:rPr>
          <w:rFonts w:ascii="Times New Roman" w:eastAsia="標楷體" w:hAnsi="Times New Roman" w:cs="Times New Roman"/>
        </w:rPr>
        <w:t xml:space="preserve"> 36 </w:t>
      </w:r>
      <w:r w:rsidRPr="00C66F87">
        <w:rPr>
          <w:rFonts w:ascii="Times New Roman" w:eastAsia="標楷體" w:hAnsi="Times New Roman" w:cs="Times New Roman"/>
        </w:rPr>
        <w:t>至</w:t>
      </w:r>
      <w:r w:rsidRPr="00C66F87">
        <w:rPr>
          <w:rFonts w:ascii="Times New Roman" w:eastAsia="標楷體" w:hAnsi="Times New Roman" w:cs="Times New Roman"/>
        </w:rPr>
        <w:t xml:space="preserve"> 54 </w:t>
      </w:r>
      <w:r w:rsidRPr="00C66F87">
        <w:rPr>
          <w:rFonts w:ascii="Times New Roman" w:eastAsia="標楷體" w:hAnsi="Times New Roman" w:cs="Times New Roman"/>
        </w:rPr>
        <w:t>小時採計</w:t>
      </w:r>
      <w:r w:rsidRPr="00C66F87">
        <w:rPr>
          <w:rFonts w:ascii="Times New Roman" w:eastAsia="標楷體" w:hAnsi="Times New Roman" w:cs="Times New Roman"/>
        </w:rPr>
        <w:t xml:space="preserve"> 1 </w:t>
      </w:r>
      <w:r w:rsidRPr="00C66F87">
        <w:rPr>
          <w:rFonts w:ascii="Times New Roman" w:eastAsia="標楷體" w:hAnsi="Times New Roman" w:cs="Times New Roman"/>
        </w:rPr>
        <w:t>學分，學分採計遇有小數部分，得以四捨五入方式計入。</w:t>
      </w:r>
    </w:p>
    <w:p w:rsidR="00F234CF" w:rsidRPr="00C66F87" w:rsidRDefault="00F234CF" w:rsidP="00F234CF">
      <w:pPr>
        <w:pStyle w:val="a3"/>
        <w:numPr>
          <w:ilvl w:val="0"/>
          <w:numId w:val="2"/>
        </w:numPr>
        <w:spacing w:line="276" w:lineRule="auto"/>
        <w:ind w:leftChars="0" w:left="993" w:hanging="567"/>
        <w:rPr>
          <w:rFonts w:ascii="Times New Roman" w:eastAsia="標楷體" w:hAnsi="Times New Roman" w:cs="Times New Roman"/>
        </w:rPr>
      </w:pPr>
      <w:r w:rsidRPr="00C66F87">
        <w:rPr>
          <w:rFonts w:ascii="Times New Roman" w:eastAsia="標楷體" w:hAnsi="Times New Roman" w:cs="Times New Roman"/>
        </w:rPr>
        <w:t>若出國修習之學校係採歐洲學分互認體系（</w:t>
      </w:r>
      <w:r w:rsidRPr="00C66F87">
        <w:rPr>
          <w:rFonts w:ascii="Times New Roman" w:eastAsia="標楷體" w:hAnsi="Times New Roman" w:cs="Times New Roman"/>
        </w:rPr>
        <w:t>European Credit Transfer and Accumulation System, ECTS</w:t>
      </w:r>
      <w:r w:rsidRPr="00C66F87">
        <w:rPr>
          <w:rFonts w:ascii="Times New Roman" w:eastAsia="標楷體" w:hAnsi="Times New Roman" w:cs="Times New Roman"/>
        </w:rPr>
        <w:t>），原則以</w:t>
      </w:r>
      <w:r w:rsidRPr="00C66F87">
        <w:rPr>
          <w:rFonts w:ascii="Times New Roman" w:eastAsia="標楷體" w:hAnsi="Times New Roman" w:cs="Times New Roman"/>
        </w:rPr>
        <w:t xml:space="preserve"> 2 ECTS </w:t>
      </w:r>
      <w:r w:rsidRPr="00C66F87">
        <w:rPr>
          <w:rFonts w:ascii="Times New Roman" w:eastAsia="標楷體" w:hAnsi="Times New Roman" w:cs="Times New Roman"/>
        </w:rPr>
        <w:t>等同</w:t>
      </w:r>
      <w:r w:rsidRPr="00C66F87">
        <w:rPr>
          <w:rFonts w:ascii="Times New Roman" w:eastAsia="標楷體" w:hAnsi="Times New Roman" w:cs="Times New Roman"/>
        </w:rPr>
        <w:t xml:space="preserve"> 1 </w:t>
      </w:r>
      <w:r w:rsidRPr="00C66F87">
        <w:rPr>
          <w:rFonts w:ascii="Times New Roman" w:eastAsia="標楷體" w:hAnsi="Times New Roman" w:cs="Times New Roman"/>
        </w:rPr>
        <w:t>學分。</w:t>
      </w:r>
    </w:p>
    <w:p w:rsidR="00F234CF" w:rsidRPr="00C66F87" w:rsidRDefault="00F234CF" w:rsidP="00F234CF">
      <w:pPr>
        <w:pStyle w:val="a3"/>
        <w:numPr>
          <w:ilvl w:val="0"/>
          <w:numId w:val="2"/>
        </w:numPr>
        <w:spacing w:line="276" w:lineRule="auto"/>
        <w:ind w:leftChars="0" w:left="993" w:hanging="567"/>
        <w:rPr>
          <w:rFonts w:ascii="Times New Roman" w:eastAsia="標楷體" w:hAnsi="Times New Roman" w:cs="Times New Roman"/>
        </w:rPr>
      </w:pPr>
      <w:r w:rsidRPr="00C66F87">
        <w:rPr>
          <w:rFonts w:ascii="Times New Roman" w:eastAsia="標楷體" w:hAnsi="Times New Roman" w:cs="Times New Roman"/>
        </w:rPr>
        <w:t>各學系、所、學位學程得另行參酌課程大綱、上課時數或其他已簽奉核准之規定，確認採計學分數。</w:t>
      </w:r>
    </w:p>
    <w:p w:rsidR="00F234CF" w:rsidRPr="00C66F87" w:rsidRDefault="00F234CF" w:rsidP="00F234CF">
      <w:pPr>
        <w:pStyle w:val="a3"/>
        <w:numPr>
          <w:ilvl w:val="0"/>
          <w:numId w:val="1"/>
        </w:numPr>
        <w:spacing w:line="360" w:lineRule="auto"/>
        <w:ind w:leftChars="0"/>
        <w:rPr>
          <w:rFonts w:ascii="Times New Roman" w:eastAsia="標楷體" w:hAnsi="Times New Roman" w:cs="Times New Roman"/>
        </w:rPr>
      </w:pPr>
      <w:r w:rsidRPr="00C66F87">
        <w:rPr>
          <w:rFonts w:ascii="Times New Roman" w:eastAsia="標楷體" w:hAnsi="Times New Roman" w:cs="Times New Roman"/>
        </w:rPr>
        <w:t>學分採計之審核原則如下：</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出國修習科目及格者，得申請學分採計。各學系、所、學位學程對成績要求若有更嚴格規定者，經週知所屬學生後，從其規定。</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出國务習科目擬採計為本校必修科目者，如學分數高於必修科目學分，以本校學分數登記；如學分數低於必修科目學分，應由就讀學系、所、學位學程指定補修科目以補足學分，若無性質相近科目可補足學分者，不得辦理採計。</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申請採計為通識課程或英（外）文者，應先備妥離大綱、課程進度或閱讀書籍等資料，經共同教育中心或外文（日文）系初審通過後，得申請採計。</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各學系、所、學位學程得因個別科目之情況，認定該科不得採計或調降申請採計之學分數。</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各學系、所、學位學程於必要時，得通知申請者接受甄試，甄試及格之科目，准予採計。</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入學後在本校已修習及格之科目，不得辦理該科目之採計。</w:t>
      </w:r>
    </w:p>
    <w:p w:rsidR="00F234CF" w:rsidRPr="00C66F87" w:rsidRDefault="00F234CF" w:rsidP="00F234CF">
      <w:pPr>
        <w:pStyle w:val="a3"/>
        <w:numPr>
          <w:ilvl w:val="0"/>
          <w:numId w:val="4"/>
        </w:numPr>
        <w:spacing w:line="276" w:lineRule="auto"/>
        <w:ind w:leftChars="177" w:left="991" w:hangingChars="236" w:hanging="566"/>
        <w:rPr>
          <w:rFonts w:ascii="Times New Roman" w:eastAsia="標楷體" w:hAnsi="Times New Roman" w:cs="Times New Roman"/>
        </w:rPr>
      </w:pPr>
      <w:r w:rsidRPr="00C66F87">
        <w:rPr>
          <w:rFonts w:ascii="Times New Roman" w:eastAsia="標楷體" w:hAnsi="Times New Roman" w:cs="Times New Roman"/>
        </w:rPr>
        <w:t>研究生經核准抵免及採認之取學分數，合計至多以就讀學系、所、學位學程規定畢業應修學分數二分之一為限，但專案簽經教務長核准者不在此限。</w:t>
      </w:r>
    </w:p>
    <w:p w:rsidR="00F234CF" w:rsidRPr="00C66F87" w:rsidRDefault="00F234CF" w:rsidP="00F234CF">
      <w:pPr>
        <w:spacing w:line="360" w:lineRule="auto"/>
        <w:rPr>
          <w:rFonts w:ascii="Times New Roman" w:eastAsia="標楷體" w:hAnsi="Times New Roman" w:cs="Times New Roman"/>
        </w:rPr>
      </w:pPr>
      <w:r w:rsidRPr="00C66F87">
        <w:rPr>
          <w:rFonts w:ascii="Times New Roman" w:eastAsia="標楷體" w:hAnsi="Times New Roman" w:cs="Times New Roman"/>
        </w:rPr>
        <w:t>六、學生已畢業或於出國修課期間辦理休學、退學者，在國外所修課程及學分皆不予採計。</w:t>
      </w:r>
    </w:p>
    <w:p w:rsidR="00F234CF" w:rsidRPr="00C66F87" w:rsidRDefault="00F234CF" w:rsidP="00F234CF">
      <w:pPr>
        <w:spacing w:line="360" w:lineRule="auto"/>
        <w:rPr>
          <w:rFonts w:ascii="Times New Roman" w:eastAsia="標楷體" w:hAnsi="Times New Roman" w:cs="Times New Roman"/>
        </w:rPr>
      </w:pPr>
      <w:r w:rsidRPr="00C66F87">
        <w:rPr>
          <w:rFonts w:ascii="Times New Roman" w:eastAsia="標楷體" w:hAnsi="Times New Roman" w:cs="Times New Roman"/>
        </w:rPr>
        <w:t>七、本要點如有未盡事宜，依本校學則及相關規定辦理。</w:t>
      </w:r>
    </w:p>
    <w:p w:rsidR="00F234CF" w:rsidRPr="00C66F87" w:rsidRDefault="00F234CF" w:rsidP="00F234CF">
      <w:pPr>
        <w:spacing w:line="360" w:lineRule="auto"/>
        <w:rPr>
          <w:rFonts w:ascii="Times New Roman" w:eastAsia="標楷體" w:hAnsi="Times New Roman" w:cs="Times New Roman"/>
        </w:rPr>
      </w:pPr>
      <w:r w:rsidRPr="00C66F87">
        <w:rPr>
          <w:rFonts w:ascii="Times New Roman" w:eastAsia="標楷體" w:hAnsi="Times New Roman" w:cs="Times New Roman"/>
        </w:rPr>
        <w:t>八、本要點經教務會議通過後，自發布日施行。</w:t>
      </w:r>
      <w:r w:rsidRPr="00C66F87">
        <w:rPr>
          <w:rFonts w:ascii="Times New Roman" w:eastAsia="標楷體" w:hAnsi="Times New Roman" w:cs="Times New Roman"/>
        </w:rPr>
        <w:br w:type="page"/>
      </w:r>
    </w:p>
    <w:p w:rsidR="00F234CF" w:rsidRPr="00C66F87" w:rsidRDefault="00F234CF" w:rsidP="00F234CF">
      <w:pPr>
        <w:spacing w:line="480" w:lineRule="auto"/>
        <w:jc w:val="center"/>
        <w:rPr>
          <w:rFonts w:ascii="Times New Roman" w:eastAsia="標楷體" w:hAnsi="Times New Roman" w:cs="Times New Roman"/>
          <w:b/>
          <w:sz w:val="32"/>
          <w:szCs w:val="28"/>
          <w:lang w:val="en-US"/>
        </w:rPr>
      </w:pPr>
      <w:r w:rsidRPr="00C66F87">
        <w:rPr>
          <w:rFonts w:ascii="Times New Roman" w:eastAsia="標楷體" w:hAnsi="Times New Roman" w:cs="Times New Roman"/>
          <w:b/>
          <w:sz w:val="32"/>
          <w:szCs w:val="28"/>
          <w:lang w:val="en-US"/>
        </w:rPr>
        <w:lastRenderedPageBreak/>
        <w:t>Guideline for Credit Transfer</w:t>
      </w:r>
    </w:p>
    <w:p w:rsidR="00F234CF" w:rsidRPr="00C66F87" w:rsidRDefault="00F234CF" w:rsidP="00F234CF">
      <w:pPr>
        <w:spacing w:line="480" w:lineRule="auto"/>
        <w:jc w:val="right"/>
        <w:rPr>
          <w:rFonts w:ascii="Times New Roman" w:eastAsia="標楷體" w:hAnsi="Times New Roman" w:cs="Times New Roman"/>
          <w:lang w:val="en-US"/>
        </w:rPr>
      </w:pPr>
      <w:r w:rsidRPr="00C66F87">
        <w:rPr>
          <w:rFonts w:ascii="Times New Roman" w:eastAsia="標楷體" w:hAnsi="Times New Roman" w:cs="Times New Roman"/>
          <w:lang w:val="en-US"/>
        </w:rPr>
        <w:t>this guideline brief transla</w:t>
      </w:r>
      <w:bookmarkStart w:id="0" w:name="_GoBack"/>
      <w:bookmarkEnd w:id="0"/>
      <w:r w:rsidRPr="00C66F87">
        <w:rPr>
          <w:rFonts w:ascii="Times New Roman" w:eastAsia="標楷體" w:hAnsi="Times New Roman" w:cs="Times New Roman"/>
          <w:lang w:val="en-US"/>
        </w:rPr>
        <w:t>te ”</w:t>
      </w:r>
      <w:r w:rsidRPr="00C66F87">
        <w:rPr>
          <w:rFonts w:ascii="Times New Roman" w:eastAsia="標楷體" w:hAnsi="Times New Roman" w:cs="Times New Roman"/>
          <w:lang w:val="en-US"/>
        </w:rPr>
        <w:t>國立臺灣大學學生出國修課學分採計要點</w:t>
      </w:r>
      <w:r w:rsidRPr="00C66F87">
        <w:rPr>
          <w:rFonts w:ascii="Times New Roman" w:eastAsia="標楷體" w:hAnsi="Times New Roman" w:cs="Times New Roman"/>
          <w:lang w:val="en-US"/>
        </w:rPr>
        <w:t>”</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 xml:space="preserve">Returning exchange students should apply for credit transfers within two months upon return, the approval of credit transfers are to be made by the departments and Office of Academic Affairs. The grades shall not affect student’s GPA. If students would like to apply for graduation application upon return, students shall complete the procedure in the beginning week of the following semester. </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 xml:space="preserve">Credit Transfer: 1 credit is equivalent to 18 hours of lecture or 36‐54 hours of laboratory/internship. (Number rounding applies) </w:t>
      </w:r>
    </w:p>
    <w:p w:rsidR="00F234CF" w:rsidRPr="00C66F87" w:rsidRDefault="00F234CF" w:rsidP="00F234CF">
      <w:pPr>
        <w:pStyle w:val="a3"/>
        <w:numPr>
          <w:ilvl w:val="0"/>
          <w:numId w:val="3"/>
        </w:numPr>
        <w:spacing w:line="480" w:lineRule="auto"/>
        <w:ind w:leftChars="295" w:left="1133" w:hangingChars="177" w:hanging="425"/>
        <w:rPr>
          <w:rFonts w:ascii="Times New Roman" w:eastAsia="標楷體" w:hAnsi="Times New Roman" w:cs="Times New Roman"/>
          <w:lang w:val="en-US"/>
        </w:rPr>
      </w:pPr>
      <w:r w:rsidRPr="00C66F87">
        <w:rPr>
          <w:rFonts w:ascii="Times New Roman" w:eastAsia="標楷體" w:hAnsi="Times New Roman" w:cs="Times New Roman"/>
          <w:lang w:val="en-US"/>
        </w:rPr>
        <w:t xml:space="preserve">For Europe exchange programs, ECTS (European Credit Transfer and Accumulation System) applies. 2 ECTS are equivalent to 1 credit. </w:t>
      </w:r>
    </w:p>
    <w:p w:rsidR="00F234CF" w:rsidRPr="00C66F87" w:rsidRDefault="00F234CF" w:rsidP="00F234CF">
      <w:pPr>
        <w:pStyle w:val="a3"/>
        <w:numPr>
          <w:ilvl w:val="0"/>
          <w:numId w:val="3"/>
        </w:numPr>
        <w:spacing w:line="480" w:lineRule="auto"/>
        <w:ind w:leftChars="295" w:left="1133" w:hangingChars="177" w:hanging="425"/>
        <w:rPr>
          <w:rFonts w:ascii="Times New Roman" w:eastAsia="標楷體" w:hAnsi="Times New Roman" w:cs="Times New Roman"/>
          <w:lang w:val="en-US"/>
        </w:rPr>
      </w:pPr>
      <w:r w:rsidRPr="00C66F87">
        <w:rPr>
          <w:rFonts w:ascii="Times New Roman" w:eastAsia="標楷體" w:hAnsi="Times New Roman" w:cs="Times New Roman"/>
          <w:lang w:val="en-US"/>
        </w:rPr>
        <w:t xml:space="preserve">Credit transfer regulation may differ from department to department.    </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 xml:space="preserve">NTU colleges or departments reserve the right of final decision of credit transfer. </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 xml:space="preserve">No credit transfer for the course that has been taken at NTU. </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For graduate students, the passing grade is B‐ or 70%. Students</w:t>
      </w:r>
      <w:r>
        <w:rPr>
          <w:rFonts w:ascii="Times New Roman" w:eastAsia="標楷體" w:hAnsi="Times New Roman" w:cs="Times New Roman"/>
          <w:lang w:val="en-US"/>
        </w:rPr>
        <w:t xml:space="preserve"> </w:t>
      </w:r>
      <w:r w:rsidRPr="00C66F87">
        <w:rPr>
          <w:rFonts w:ascii="Times New Roman" w:eastAsia="標楷體" w:hAnsi="Times New Roman" w:cs="Times New Roman"/>
          <w:lang w:val="en-US"/>
        </w:rPr>
        <w:t>should adhere to accordingly should other NTU departments have more stringent criteria.</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 xml:space="preserve">For Credit transfer, in the event the exchange school’s credits are greater than NTU’s, NTU credits are registered; In the event exchange school’s credits are lower than NTU’s, additional lecture hours are required to make up credits. Application for credit transfer is not be accepted when there is no comparable lecture hours available at NTU. </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Students should apply for credit transfer within the application period according to the NTU academic calendar, with the exception of upcoming graduates.</w:t>
      </w:r>
    </w:p>
    <w:p w:rsidR="00F234CF" w:rsidRPr="00C66F87" w:rsidRDefault="00F234CF" w:rsidP="00F234CF">
      <w:pPr>
        <w:pStyle w:val="a3"/>
        <w:numPr>
          <w:ilvl w:val="2"/>
          <w:numId w:val="1"/>
        </w:numPr>
        <w:spacing w:line="480" w:lineRule="auto"/>
        <w:ind w:leftChars="0" w:left="567" w:hanging="283"/>
        <w:rPr>
          <w:rFonts w:ascii="Times New Roman" w:eastAsia="標楷體" w:hAnsi="Times New Roman" w:cs="Times New Roman"/>
          <w:lang w:val="en-US"/>
        </w:rPr>
      </w:pPr>
      <w:r w:rsidRPr="00C66F87">
        <w:rPr>
          <w:rFonts w:ascii="Times New Roman" w:eastAsia="標楷體" w:hAnsi="Times New Roman" w:cs="Times New Roman"/>
          <w:lang w:val="en-US"/>
        </w:rPr>
        <w:t>For graduate students, transferred credits shall not exceed 50% of total credits.</w:t>
      </w:r>
    </w:p>
    <w:p w:rsidR="00D62470" w:rsidRPr="00F234CF" w:rsidRDefault="00D62470">
      <w:pPr>
        <w:rPr>
          <w:lang w:val="en-US"/>
        </w:rPr>
      </w:pPr>
    </w:p>
    <w:sectPr w:rsidR="00D62470" w:rsidRPr="00F234CF">
      <w:footerReference w:type="even" r:id="rId5"/>
      <w:footerReference w:type="default" r:id="rId6"/>
      <w:pgSz w:w="11900" w:h="16840"/>
      <w:pgMar w:top="601" w:right="812" w:bottom="601" w:left="83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3110269"/>
      <w:docPartObj>
        <w:docPartGallery w:val="Page Numbers (Bottom of Page)"/>
        <w:docPartUnique/>
      </w:docPartObj>
    </w:sdtPr>
    <w:sdtEndPr>
      <w:rPr>
        <w:rStyle w:val="a6"/>
      </w:rPr>
    </w:sdtEndPr>
    <w:sdtContent>
      <w:p w:rsidR="0003342C" w:rsidRDefault="00F234CF" w:rsidP="008C76A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03342C" w:rsidRDefault="00F234C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316603978"/>
      <w:docPartObj>
        <w:docPartGallery w:val="Page Numbers (Bottom of Page)"/>
        <w:docPartUnique/>
      </w:docPartObj>
    </w:sdtPr>
    <w:sdtEndPr>
      <w:rPr>
        <w:rStyle w:val="a6"/>
      </w:rPr>
    </w:sdtEndPr>
    <w:sdtContent>
      <w:p w:rsidR="0003342C" w:rsidRDefault="00F234CF" w:rsidP="008C76A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rsidR="0003342C" w:rsidRDefault="00F234CF">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2D73"/>
    <w:multiLevelType w:val="hybridMultilevel"/>
    <w:tmpl w:val="843ED8EE"/>
    <w:lvl w:ilvl="0" w:tplc="04090015">
      <w:start w:val="1"/>
      <w:numFmt w:val="taiwaneseCountingThousand"/>
      <w:lvlText w:val="%1、"/>
      <w:lvlJc w:val="left"/>
      <w:pPr>
        <w:ind w:left="480" w:hanging="480"/>
      </w:pPr>
    </w:lvl>
    <w:lvl w:ilvl="1" w:tplc="67405FAA">
      <w:start w:val="1"/>
      <w:numFmt w:val="decimal"/>
      <w:lvlText w:val="(%2)"/>
      <w:lvlJc w:val="left"/>
      <w:pPr>
        <w:ind w:left="940" w:hanging="460"/>
      </w:pPr>
      <w:rPr>
        <w:rFonts w:hint="default"/>
      </w:rPr>
    </w:lvl>
    <w:lvl w:ilvl="2" w:tplc="C6DC651C">
      <w:start w:val="1"/>
      <w:numFmt w:val="decimal"/>
      <w:lvlText w:val="%3."/>
      <w:lvlJc w:val="left"/>
      <w:pPr>
        <w:ind w:left="1200" w:hanging="2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90148"/>
    <w:multiLevelType w:val="hybridMultilevel"/>
    <w:tmpl w:val="9370AAD6"/>
    <w:lvl w:ilvl="0" w:tplc="D08878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3B372F"/>
    <w:multiLevelType w:val="hybridMultilevel"/>
    <w:tmpl w:val="64929224"/>
    <w:lvl w:ilvl="0" w:tplc="261EAF88">
      <w:start w:val="1"/>
      <w:numFmt w:val="taiwaneseCountingThousand"/>
      <w:lvlText w:val="(%1）"/>
      <w:lvlJc w:val="left"/>
      <w:pPr>
        <w:ind w:left="1100" w:hanging="6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C4A6865"/>
    <w:multiLevelType w:val="hybridMultilevel"/>
    <w:tmpl w:val="64929224"/>
    <w:lvl w:ilvl="0" w:tplc="261EAF88">
      <w:start w:val="1"/>
      <w:numFmt w:val="taiwaneseCountingThousand"/>
      <w:lvlText w:val="(%1）"/>
      <w:lvlJc w:val="left"/>
      <w:pPr>
        <w:ind w:left="1100" w:hanging="6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CF"/>
    <w:rsid w:val="00D62470"/>
    <w:rsid w:val="00F23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4173"/>
  <w15:chartTrackingRefBased/>
  <w15:docId w15:val="{FDC95FE5-012D-4E9E-8FCF-53D45242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CF"/>
    <w:pPr>
      <w:widowControl w:val="0"/>
    </w:pPr>
    <w:rPr>
      <w:rFonts w:ascii="Courier New" w:eastAsia="Courier New" w:hAnsi="Courier New" w:cs="Courier New"/>
      <w:color w:val="000000"/>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4CF"/>
    <w:pPr>
      <w:ind w:leftChars="200" w:left="480"/>
    </w:pPr>
  </w:style>
  <w:style w:type="paragraph" w:styleId="a4">
    <w:name w:val="footer"/>
    <w:basedOn w:val="a"/>
    <w:link w:val="a5"/>
    <w:uiPriority w:val="99"/>
    <w:unhideWhenUsed/>
    <w:rsid w:val="00F234CF"/>
    <w:pPr>
      <w:tabs>
        <w:tab w:val="center" w:pos="4153"/>
        <w:tab w:val="right" w:pos="8306"/>
      </w:tabs>
      <w:snapToGrid w:val="0"/>
    </w:pPr>
    <w:rPr>
      <w:sz w:val="20"/>
      <w:szCs w:val="20"/>
    </w:rPr>
  </w:style>
  <w:style w:type="character" w:customStyle="1" w:styleId="a5">
    <w:name w:val="頁尾 字元"/>
    <w:basedOn w:val="a0"/>
    <w:link w:val="a4"/>
    <w:uiPriority w:val="99"/>
    <w:rsid w:val="00F234CF"/>
    <w:rPr>
      <w:rFonts w:ascii="Courier New" w:eastAsia="Courier New" w:hAnsi="Courier New" w:cs="Courier New"/>
      <w:color w:val="000000"/>
      <w:kern w:val="0"/>
      <w:sz w:val="20"/>
      <w:szCs w:val="20"/>
      <w:lang w:val="zh-TW" w:bidi="zh-TW"/>
    </w:rPr>
  </w:style>
  <w:style w:type="character" w:styleId="a6">
    <w:name w:val="page number"/>
    <w:basedOn w:val="a0"/>
    <w:uiPriority w:val="99"/>
    <w:semiHidden/>
    <w:unhideWhenUsed/>
    <w:rsid w:val="00F2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陳美鈴</dc:creator>
  <cp:keywords/>
  <dc:description/>
  <cp:lastModifiedBy>陳美鈴</cp:lastModifiedBy>
  <cp:revision>1</cp:revision>
  <cp:lastPrinted>2020-09-29T08:27:00Z</cp:lastPrinted>
  <dcterms:created xsi:type="dcterms:W3CDTF">2020-09-29T08:26:00Z</dcterms:created>
  <dcterms:modified xsi:type="dcterms:W3CDTF">2020-09-29T08:28:00Z</dcterms:modified>
</cp:coreProperties>
</file>